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9776" w:type="dxa"/>
        <w:shd w:val="clear" w:color="auto" w:fill="9CC2E5" w:themeFill="accent5" w:themeFillTint="99"/>
        <w:tblLook w:val="04A0" w:firstRow="1" w:lastRow="0" w:firstColumn="1" w:lastColumn="0" w:noHBand="0" w:noVBand="1"/>
      </w:tblPr>
      <w:tblGrid>
        <w:gridCol w:w="2186"/>
        <w:gridCol w:w="7590"/>
      </w:tblGrid>
      <w:tr w:rsidR="00C844E3" w:rsidRPr="00CB0B84" w14:paraId="34EF77D2" w14:textId="77777777" w:rsidTr="00CB0B84">
        <w:trPr>
          <w:trHeight w:val="363"/>
        </w:trPr>
        <w:tc>
          <w:tcPr>
            <w:tcW w:w="9776" w:type="dxa"/>
            <w:gridSpan w:val="2"/>
            <w:shd w:val="clear" w:color="auto" w:fill="8DB3E2"/>
            <w:vAlign w:val="center"/>
          </w:tcPr>
          <w:p w14:paraId="5CA15966" w14:textId="4C22479A" w:rsidR="00C844E3" w:rsidRPr="00CB0B84" w:rsidRDefault="00C844E3" w:rsidP="00C844E3">
            <w:pPr>
              <w:jc w:val="center"/>
              <w:rPr>
                <w:rFonts w:ascii="Calibri" w:hAnsi="Calibri" w:cs="Calibri"/>
                <w:color w:val="000000"/>
              </w:rPr>
            </w:pPr>
            <w:r w:rsidRPr="00CB0B84">
              <w:rPr>
                <w:rFonts w:ascii="Calibri" w:hAnsi="Calibri" w:cs="Calibri"/>
                <w:b/>
              </w:rPr>
              <w:t>OFICINA DE ASUNTOS DISCIPLINARIOS</w:t>
            </w:r>
          </w:p>
        </w:tc>
      </w:tr>
      <w:tr w:rsidR="002860A6" w:rsidRPr="00CB0B84" w14:paraId="72253683" w14:textId="77777777" w:rsidTr="00CB0B84">
        <w:trPr>
          <w:trHeight w:val="534"/>
        </w:trPr>
        <w:tc>
          <w:tcPr>
            <w:tcW w:w="2186" w:type="dxa"/>
            <w:shd w:val="clear" w:color="auto" w:fill="8DB3E2"/>
            <w:vAlign w:val="center"/>
          </w:tcPr>
          <w:p w14:paraId="52933A67" w14:textId="71068FFA" w:rsidR="002860A6" w:rsidRPr="00CB0B84" w:rsidRDefault="002860A6" w:rsidP="002860A6">
            <w:pPr>
              <w:rPr>
                <w:rFonts w:ascii="Calibri" w:hAnsi="Calibri" w:cs="Calibri"/>
                <w:color w:val="000000"/>
              </w:rPr>
            </w:pPr>
            <w:r w:rsidRPr="00CB0B84">
              <w:rPr>
                <w:rFonts w:ascii="Calibri" w:hAnsi="Calibri" w:cs="Calibri"/>
                <w:b/>
                <w:bCs/>
                <w:color w:val="000000"/>
              </w:rPr>
              <w:t xml:space="preserve">Asunto: </w:t>
            </w:r>
          </w:p>
        </w:tc>
        <w:tc>
          <w:tcPr>
            <w:tcW w:w="7590" w:type="dxa"/>
            <w:shd w:val="clear" w:color="auto" w:fill="auto"/>
            <w:vAlign w:val="center"/>
          </w:tcPr>
          <w:p w14:paraId="33CA477C" w14:textId="4055C79F" w:rsidR="002860A6" w:rsidRPr="00CB0B84" w:rsidRDefault="00C844E3" w:rsidP="002860A6">
            <w:pPr>
              <w:jc w:val="center"/>
              <w:rPr>
                <w:rFonts w:ascii="Calibri" w:hAnsi="Calibri" w:cs="Calibri"/>
                <w:bCs/>
                <w:color w:val="000000"/>
              </w:rPr>
            </w:pPr>
            <w:r w:rsidRPr="00CB0B84">
              <w:rPr>
                <w:rFonts w:ascii="Calibri" w:eastAsia="Arial Narrow" w:hAnsi="Calibri" w:cs="Calibri"/>
                <w:bCs/>
              </w:rPr>
              <w:t>Auto por medio del cual se inhibe de iniciar actuación Disciplinaria (Art. 209 de la Ley 1952 de 2019)</w:t>
            </w:r>
          </w:p>
        </w:tc>
      </w:tr>
      <w:tr w:rsidR="000A22D7" w:rsidRPr="00CB0B84" w14:paraId="6BD27BC7" w14:textId="77777777" w:rsidTr="00CB0B84">
        <w:trPr>
          <w:trHeight w:val="299"/>
        </w:trPr>
        <w:tc>
          <w:tcPr>
            <w:tcW w:w="2186" w:type="dxa"/>
            <w:shd w:val="clear" w:color="auto" w:fill="8DB3E2"/>
            <w:vAlign w:val="bottom"/>
          </w:tcPr>
          <w:p w14:paraId="18A930F6" w14:textId="3B80A71E" w:rsidR="000A22D7" w:rsidRPr="00CB0B84" w:rsidRDefault="000A22D7" w:rsidP="000A22D7">
            <w:pPr>
              <w:rPr>
                <w:rFonts w:ascii="Calibri" w:hAnsi="Calibri" w:cs="Calibri"/>
                <w:b/>
                <w:bCs/>
                <w:color w:val="000000"/>
              </w:rPr>
            </w:pPr>
            <w:r w:rsidRPr="00CB0B84">
              <w:rPr>
                <w:rFonts w:ascii="Calibri" w:hAnsi="Calibri" w:cs="Calibri"/>
                <w:b/>
                <w:bCs/>
                <w:color w:val="000000"/>
              </w:rPr>
              <w:t>Radicación No:</w:t>
            </w:r>
          </w:p>
        </w:tc>
        <w:tc>
          <w:tcPr>
            <w:tcW w:w="7590" w:type="dxa"/>
            <w:shd w:val="clear" w:color="auto" w:fill="FFFFFF" w:themeFill="background1"/>
            <w:vAlign w:val="bottom"/>
          </w:tcPr>
          <w:p w14:paraId="2DC7FA1A" w14:textId="77777777" w:rsidR="000A22D7" w:rsidRPr="00CB0B84" w:rsidRDefault="000A22D7" w:rsidP="000A22D7">
            <w:pPr>
              <w:rPr>
                <w:rFonts w:ascii="Calibri" w:hAnsi="Calibri" w:cs="Calibri"/>
                <w:color w:val="000000"/>
              </w:rPr>
            </w:pPr>
          </w:p>
        </w:tc>
      </w:tr>
      <w:tr w:rsidR="000A22D7" w:rsidRPr="00CB0B84" w14:paraId="6B6B0FB3" w14:textId="77777777" w:rsidTr="00CB0B84">
        <w:trPr>
          <w:trHeight w:val="299"/>
        </w:trPr>
        <w:tc>
          <w:tcPr>
            <w:tcW w:w="2186" w:type="dxa"/>
            <w:shd w:val="clear" w:color="auto" w:fill="8DB3E2"/>
            <w:vAlign w:val="bottom"/>
          </w:tcPr>
          <w:p w14:paraId="04E37450" w14:textId="4D16DAE3" w:rsidR="000A22D7" w:rsidRPr="00CB0B84" w:rsidRDefault="000A22D7" w:rsidP="000A22D7">
            <w:pPr>
              <w:rPr>
                <w:rFonts w:ascii="Calibri" w:hAnsi="Calibri" w:cs="Calibri"/>
                <w:b/>
                <w:bCs/>
                <w:color w:val="000000"/>
              </w:rPr>
            </w:pPr>
            <w:r w:rsidRPr="00CB0B84">
              <w:rPr>
                <w:rFonts w:ascii="Calibri" w:eastAsia="Times New Roman" w:hAnsi="Calibri" w:cs="Calibri"/>
                <w:b/>
                <w:bCs/>
                <w:color w:val="000000"/>
                <w:lang w:eastAsia="es-CO"/>
              </w:rPr>
              <w:t>Disciplinado:</w:t>
            </w:r>
          </w:p>
        </w:tc>
        <w:tc>
          <w:tcPr>
            <w:tcW w:w="7590" w:type="dxa"/>
            <w:shd w:val="clear" w:color="auto" w:fill="FFFFFF" w:themeFill="background1"/>
            <w:vAlign w:val="bottom"/>
          </w:tcPr>
          <w:p w14:paraId="24F1CDA6" w14:textId="77777777" w:rsidR="000A22D7" w:rsidRPr="00CB0B84" w:rsidRDefault="000A22D7" w:rsidP="000A22D7">
            <w:pPr>
              <w:rPr>
                <w:rFonts w:ascii="Calibri" w:hAnsi="Calibri" w:cs="Calibri"/>
                <w:color w:val="000000"/>
              </w:rPr>
            </w:pPr>
          </w:p>
        </w:tc>
      </w:tr>
      <w:tr w:rsidR="000A22D7" w:rsidRPr="00CB0B84" w14:paraId="7ABBD348" w14:textId="77777777" w:rsidTr="00CB0B84">
        <w:trPr>
          <w:trHeight w:val="299"/>
        </w:trPr>
        <w:tc>
          <w:tcPr>
            <w:tcW w:w="2186" w:type="dxa"/>
            <w:shd w:val="clear" w:color="auto" w:fill="8DB3E2"/>
            <w:vAlign w:val="bottom"/>
          </w:tcPr>
          <w:p w14:paraId="0546414A" w14:textId="17AB7C56" w:rsidR="000A22D7" w:rsidRPr="00CB0B84" w:rsidRDefault="000A22D7" w:rsidP="000A22D7">
            <w:pPr>
              <w:rPr>
                <w:rFonts w:ascii="Calibri" w:hAnsi="Calibri" w:cs="Calibri"/>
                <w:b/>
                <w:bCs/>
                <w:color w:val="000000"/>
              </w:rPr>
            </w:pPr>
            <w:r w:rsidRPr="00CB0B84">
              <w:rPr>
                <w:rFonts w:ascii="Calibri" w:hAnsi="Calibri" w:cs="Calibri"/>
                <w:b/>
                <w:bCs/>
                <w:color w:val="000000"/>
              </w:rPr>
              <w:t>Cargo</w:t>
            </w:r>
            <w:r w:rsidR="00C844E3" w:rsidRPr="00CB0B84">
              <w:rPr>
                <w:rFonts w:ascii="Calibri" w:hAnsi="Calibri" w:cs="Calibri"/>
                <w:b/>
                <w:bCs/>
                <w:color w:val="000000"/>
              </w:rPr>
              <w:t xml:space="preserve"> y Entidad</w:t>
            </w:r>
            <w:r w:rsidRPr="00CB0B84">
              <w:rPr>
                <w:rFonts w:ascii="Calibri" w:hAnsi="Calibri" w:cs="Calibri"/>
                <w:b/>
                <w:bCs/>
                <w:color w:val="000000"/>
              </w:rPr>
              <w:t>:</w:t>
            </w:r>
          </w:p>
        </w:tc>
        <w:tc>
          <w:tcPr>
            <w:tcW w:w="7590" w:type="dxa"/>
            <w:shd w:val="clear" w:color="auto" w:fill="FFFFFF" w:themeFill="background1"/>
            <w:vAlign w:val="bottom"/>
          </w:tcPr>
          <w:p w14:paraId="73435FB7" w14:textId="77777777" w:rsidR="000A22D7" w:rsidRPr="00CB0B84" w:rsidRDefault="000A22D7" w:rsidP="000A22D7">
            <w:pPr>
              <w:rPr>
                <w:rFonts w:ascii="Calibri" w:hAnsi="Calibri" w:cs="Calibri"/>
                <w:color w:val="000000"/>
              </w:rPr>
            </w:pPr>
          </w:p>
        </w:tc>
      </w:tr>
      <w:tr w:rsidR="000A22D7" w:rsidRPr="00CB0B84" w14:paraId="6E5EC50A" w14:textId="77777777" w:rsidTr="00CB0B84">
        <w:trPr>
          <w:trHeight w:val="299"/>
        </w:trPr>
        <w:tc>
          <w:tcPr>
            <w:tcW w:w="2186" w:type="dxa"/>
            <w:shd w:val="clear" w:color="auto" w:fill="8DB3E2"/>
            <w:vAlign w:val="bottom"/>
          </w:tcPr>
          <w:p w14:paraId="12A56F43" w14:textId="2934BB1D" w:rsidR="000A22D7" w:rsidRPr="00CB0B84" w:rsidRDefault="00DC5358" w:rsidP="000A22D7">
            <w:pPr>
              <w:rPr>
                <w:rFonts w:ascii="Calibri" w:hAnsi="Calibri" w:cs="Calibri"/>
                <w:b/>
                <w:bCs/>
                <w:color w:val="000000"/>
              </w:rPr>
            </w:pPr>
            <w:r w:rsidRPr="00CB0B84">
              <w:rPr>
                <w:rFonts w:ascii="Calibri" w:hAnsi="Calibri" w:cs="Calibri"/>
                <w:b/>
                <w:bCs/>
                <w:color w:val="000000"/>
              </w:rPr>
              <w:t>Quej</w:t>
            </w:r>
            <w:r w:rsidR="00C844E3" w:rsidRPr="00CB0B84">
              <w:rPr>
                <w:rFonts w:ascii="Calibri" w:hAnsi="Calibri" w:cs="Calibri"/>
                <w:b/>
                <w:bCs/>
                <w:color w:val="000000"/>
              </w:rPr>
              <w:t>a</w:t>
            </w:r>
            <w:r w:rsidRPr="00CB0B84">
              <w:rPr>
                <w:rFonts w:ascii="Calibri" w:hAnsi="Calibri" w:cs="Calibri"/>
                <w:b/>
                <w:bCs/>
                <w:color w:val="000000"/>
              </w:rPr>
              <w:t>:</w:t>
            </w:r>
          </w:p>
        </w:tc>
        <w:tc>
          <w:tcPr>
            <w:tcW w:w="7590" w:type="dxa"/>
            <w:shd w:val="clear" w:color="auto" w:fill="FFFFFF" w:themeFill="background1"/>
            <w:vAlign w:val="bottom"/>
          </w:tcPr>
          <w:p w14:paraId="6FAA2BCA" w14:textId="77777777" w:rsidR="000A22D7" w:rsidRPr="00CB0B84" w:rsidRDefault="000A22D7" w:rsidP="000A22D7">
            <w:pPr>
              <w:rPr>
                <w:rFonts w:ascii="Calibri" w:hAnsi="Calibri" w:cs="Calibri"/>
                <w:color w:val="000000"/>
              </w:rPr>
            </w:pPr>
          </w:p>
        </w:tc>
      </w:tr>
      <w:tr w:rsidR="000A22D7" w:rsidRPr="00CB0B84" w14:paraId="004EB0D2" w14:textId="77777777" w:rsidTr="00CB0B84">
        <w:trPr>
          <w:trHeight w:val="299"/>
        </w:trPr>
        <w:tc>
          <w:tcPr>
            <w:tcW w:w="2186" w:type="dxa"/>
            <w:shd w:val="clear" w:color="auto" w:fill="8DB3E2"/>
            <w:vAlign w:val="bottom"/>
          </w:tcPr>
          <w:p w14:paraId="44B9F6C3" w14:textId="51C11AB9" w:rsidR="000A22D7" w:rsidRPr="00CB0B84" w:rsidRDefault="000A22D7" w:rsidP="000A22D7">
            <w:pPr>
              <w:rPr>
                <w:rFonts w:ascii="Calibri" w:hAnsi="Calibri" w:cs="Calibri"/>
                <w:b/>
                <w:bCs/>
                <w:color w:val="000000"/>
              </w:rPr>
            </w:pPr>
            <w:r w:rsidRPr="00CB0B84">
              <w:rPr>
                <w:rFonts w:ascii="Calibri" w:hAnsi="Calibri" w:cs="Calibri"/>
                <w:b/>
                <w:bCs/>
                <w:color w:val="000000"/>
              </w:rPr>
              <w:t>Fecha de Queja:</w:t>
            </w:r>
          </w:p>
        </w:tc>
        <w:tc>
          <w:tcPr>
            <w:tcW w:w="7590" w:type="dxa"/>
            <w:shd w:val="clear" w:color="auto" w:fill="FFFFFF" w:themeFill="background1"/>
            <w:vAlign w:val="bottom"/>
          </w:tcPr>
          <w:p w14:paraId="2D3C607F" w14:textId="77777777" w:rsidR="000A22D7" w:rsidRPr="00CB0B84" w:rsidRDefault="000A22D7" w:rsidP="000A22D7">
            <w:pPr>
              <w:rPr>
                <w:rFonts w:ascii="Calibri" w:hAnsi="Calibri" w:cs="Calibri"/>
                <w:color w:val="000000"/>
              </w:rPr>
            </w:pPr>
          </w:p>
        </w:tc>
      </w:tr>
      <w:tr w:rsidR="000A22D7" w:rsidRPr="00CB0B84" w14:paraId="758A017F" w14:textId="77777777" w:rsidTr="00CB0B84">
        <w:trPr>
          <w:trHeight w:val="299"/>
        </w:trPr>
        <w:tc>
          <w:tcPr>
            <w:tcW w:w="2186" w:type="dxa"/>
            <w:shd w:val="clear" w:color="auto" w:fill="8DB3E2"/>
            <w:vAlign w:val="bottom"/>
          </w:tcPr>
          <w:p w14:paraId="16BFD2C7" w14:textId="22E1E252" w:rsidR="000A22D7" w:rsidRPr="00CB0B84" w:rsidRDefault="000A22D7" w:rsidP="000A22D7">
            <w:pPr>
              <w:rPr>
                <w:rFonts w:ascii="Calibri" w:hAnsi="Calibri" w:cs="Calibri"/>
                <w:b/>
                <w:bCs/>
                <w:color w:val="000000"/>
              </w:rPr>
            </w:pPr>
            <w:r w:rsidRPr="00CB0B84">
              <w:rPr>
                <w:rFonts w:ascii="Calibri" w:hAnsi="Calibri" w:cs="Calibri"/>
                <w:b/>
                <w:bCs/>
                <w:color w:val="000000"/>
              </w:rPr>
              <w:t>Fecha de los hechos:</w:t>
            </w:r>
          </w:p>
        </w:tc>
        <w:tc>
          <w:tcPr>
            <w:tcW w:w="7590" w:type="dxa"/>
            <w:shd w:val="clear" w:color="auto" w:fill="FFFFFF" w:themeFill="background1"/>
            <w:vAlign w:val="bottom"/>
          </w:tcPr>
          <w:p w14:paraId="5805E75F" w14:textId="77777777" w:rsidR="000A22D7" w:rsidRPr="00CB0B84" w:rsidRDefault="000A22D7" w:rsidP="000A22D7">
            <w:pPr>
              <w:rPr>
                <w:rFonts w:ascii="Calibri" w:hAnsi="Calibri" w:cs="Calibri"/>
                <w:color w:val="000000"/>
              </w:rPr>
            </w:pPr>
          </w:p>
        </w:tc>
      </w:tr>
    </w:tbl>
    <w:p w14:paraId="356E7C93" w14:textId="77777777" w:rsidR="006C1BD2" w:rsidRPr="00CB0B84" w:rsidRDefault="006C1BD2" w:rsidP="0040581B">
      <w:pPr>
        <w:jc w:val="center"/>
        <w:rPr>
          <w:rFonts w:ascii="Calibri" w:hAnsi="Calibri" w:cs="Calibri"/>
          <w:color w:val="000000"/>
        </w:rPr>
      </w:pPr>
    </w:p>
    <w:p w14:paraId="12E41A51" w14:textId="1B577105" w:rsidR="00F912DE" w:rsidRPr="00CB0B84" w:rsidRDefault="00F912DE" w:rsidP="00025935">
      <w:pPr>
        <w:spacing w:after="0" w:line="240" w:lineRule="auto"/>
        <w:jc w:val="center"/>
        <w:rPr>
          <w:rFonts w:ascii="Calibri" w:eastAsia="Times New Roman" w:hAnsi="Calibri" w:cs="Calibri"/>
          <w:lang w:val="es-ES" w:eastAsia="es-ES"/>
        </w:rPr>
      </w:pPr>
    </w:p>
    <w:p w14:paraId="7A54C4C6" w14:textId="77777777" w:rsidR="00CB7393" w:rsidRPr="00CB0B84" w:rsidRDefault="00CB7393" w:rsidP="00CB7393">
      <w:pPr>
        <w:spacing w:after="0"/>
        <w:rPr>
          <w:rFonts w:ascii="Calibri" w:hAnsi="Calibri" w:cs="Calibri"/>
        </w:rPr>
      </w:pPr>
      <w:r w:rsidRPr="00CB0B84">
        <w:rPr>
          <w:rFonts w:ascii="Calibri" w:hAnsi="Calibri" w:cs="Calibri"/>
        </w:rPr>
        <w:t>Santa Marta, XX de 202X.</w:t>
      </w:r>
    </w:p>
    <w:p w14:paraId="210DC83B" w14:textId="77777777" w:rsidR="00CB7393" w:rsidRPr="00CB0B84" w:rsidRDefault="00CB7393" w:rsidP="00CB7393">
      <w:pPr>
        <w:spacing w:after="0"/>
        <w:rPr>
          <w:rFonts w:ascii="Calibri" w:hAnsi="Calibri" w:cs="Calibri"/>
        </w:rPr>
      </w:pPr>
    </w:p>
    <w:p w14:paraId="28C75348" w14:textId="77777777" w:rsidR="00CB7393" w:rsidRPr="00CB0B84" w:rsidRDefault="00CB7393" w:rsidP="00CB7393">
      <w:pPr>
        <w:spacing w:after="0"/>
        <w:jc w:val="center"/>
        <w:rPr>
          <w:rFonts w:ascii="Calibri" w:hAnsi="Calibri" w:cs="Calibri"/>
          <w:b/>
          <w:bCs/>
        </w:rPr>
      </w:pPr>
      <w:r w:rsidRPr="00CB0B84">
        <w:rPr>
          <w:rFonts w:ascii="Calibri" w:hAnsi="Calibri" w:cs="Calibri"/>
          <w:b/>
          <w:bCs/>
        </w:rPr>
        <w:t>ANTECEDENTES</w:t>
      </w:r>
    </w:p>
    <w:p w14:paraId="01D2AE74" w14:textId="77777777" w:rsidR="00CB7393" w:rsidRPr="00CB0B84" w:rsidRDefault="00CB7393" w:rsidP="00CB7393">
      <w:pPr>
        <w:spacing w:after="0"/>
        <w:rPr>
          <w:rFonts w:ascii="Calibri" w:hAnsi="Calibri" w:cs="Calibri"/>
        </w:rPr>
      </w:pPr>
    </w:p>
    <w:p w14:paraId="0A7B3B96" w14:textId="6320B936" w:rsidR="00CB7393" w:rsidRPr="00CB0B84" w:rsidRDefault="00CB7393" w:rsidP="00CB7393">
      <w:pPr>
        <w:spacing w:after="0"/>
        <w:jc w:val="both"/>
        <w:rPr>
          <w:rFonts w:ascii="Calibri" w:hAnsi="Calibri" w:cs="Calibri"/>
        </w:rPr>
      </w:pPr>
      <w:r w:rsidRPr="00CB0B84">
        <w:rPr>
          <w:rFonts w:ascii="Calibri" w:hAnsi="Calibri" w:cs="Calibri"/>
        </w:rPr>
        <w:t xml:space="preserve">Correspondió a la oficina de asuntos Disciplinarios de la Alcaldía Distrital de Santa Marta, avocar el conocimiento de la queja presentada de forma anónima y recibida en esta dependencia el día XX de XX de 202X, en la cual se puso en conocimiento un presunto caso de violencia perpetrado por el señor XXXXXXX, en su condición de XXXXXXXXXX  </w:t>
      </w:r>
    </w:p>
    <w:p w14:paraId="34A999C0" w14:textId="77777777" w:rsidR="00CB7393" w:rsidRPr="00CB0B84" w:rsidRDefault="00CB7393" w:rsidP="00CB7393">
      <w:pPr>
        <w:spacing w:after="0"/>
        <w:jc w:val="both"/>
        <w:rPr>
          <w:rFonts w:ascii="Calibri" w:hAnsi="Calibri" w:cs="Calibri"/>
        </w:rPr>
      </w:pPr>
    </w:p>
    <w:p w14:paraId="697C2451" w14:textId="77777777" w:rsidR="00CB7393" w:rsidRPr="00CB0B84" w:rsidRDefault="00CB7393" w:rsidP="00CB7393">
      <w:pPr>
        <w:tabs>
          <w:tab w:val="left" w:pos="1900"/>
        </w:tabs>
        <w:spacing w:after="0"/>
        <w:jc w:val="center"/>
        <w:rPr>
          <w:rFonts w:ascii="Calibri" w:hAnsi="Calibri" w:cs="Calibri"/>
          <w:b/>
          <w:bCs/>
        </w:rPr>
      </w:pPr>
      <w:r w:rsidRPr="00CB0B84">
        <w:rPr>
          <w:rFonts w:ascii="Calibri" w:hAnsi="Calibri" w:cs="Calibri"/>
          <w:b/>
          <w:bCs/>
        </w:rPr>
        <w:t>CONSIDERACIONES DEL DESPACHO</w:t>
      </w:r>
    </w:p>
    <w:p w14:paraId="5A8A369E" w14:textId="77777777" w:rsidR="00CB7393" w:rsidRPr="00CB0B84" w:rsidRDefault="00CB7393" w:rsidP="00CB7393">
      <w:pPr>
        <w:tabs>
          <w:tab w:val="left" w:pos="1900"/>
        </w:tabs>
        <w:spacing w:after="0"/>
        <w:jc w:val="center"/>
        <w:rPr>
          <w:rFonts w:ascii="Calibri" w:hAnsi="Calibri" w:cs="Calibri"/>
          <w:b/>
          <w:bCs/>
        </w:rPr>
      </w:pPr>
    </w:p>
    <w:p w14:paraId="035E1EDF" w14:textId="77777777" w:rsidR="00CB7393" w:rsidRPr="00CB0B84" w:rsidRDefault="00CB7393" w:rsidP="00CB7393">
      <w:pPr>
        <w:tabs>
          <w:tab w:val="left" w:pos="1900"/>
        </w:tabs>
        <w:jc w:val="both"/>
        <w:rPr>
          <w:rFonts w:ascii="Calibri" w:hAnsi="Calibri" w:cs="Calibri"/>
        </w:rPr>
      </w:pPr>
      <w:r w:rsidRPr="00CB0B84">
        <w:rPr>
          <w:rFonts w:ascii="Calibri" w:hAnsi="Calibri" w:cs="Calibri"/>
        </w:rPr>
        <w:t xml:space="preserve">Sea lo primero precisar que, este operador disciplinario, referente a lo manifestado en la queja presentada, observa que no se aportó ninguna prueba que comprometa la responsabilidad del presunto inculpado. </w:t>
      </w:r>
    </w:p>
    <w:p w14:paraId="4CD311D3" w14:textId="77777777" w:rsidR="00CB7393" w:rsidRPr="00CB0B84" w:rsidRDefault="00CB7393" w:rsidP="00CB7393">
      <w:pPr>
        <w:tabs>
          <w:tab w:val="left" w:pos="1900"/>
        </w:tabs>
        <w:jc w:val="both"/>
        <w:rPr>
          <w:rFonts w:ascii="Calibri" w:hAnsi="Calibri" w:cs="Calibri"/>
        </w:rPr>
      </w:pPr>
      <w:r w:rsidRPr="00CB0B84">
        <w:rPr>
          <w:rFonts w:ascii="Calibri" w:hAnsi="Calibri" w:cs="Calibri"/>
        </w:rPr>
        <w:t xml:space="preserve">Es de anotar, que la queja debe contener elementos que permitan al investigador tener una visión inicial de lo sucedido, soportes de la presunta falta disciplinaría y datos de quienes hayan tenido conocimiento de tales hechos y en general, aportar información que pueda corroborar lo expresado en la queja para poder iniciar una actuación conducente y formal. </w:t>
      </w:r>
    </w:p>
    <w:p w14:paraId="585FAA10" w14:textId="77777777" w:rsidR="00CB7393" w:rsidRPr="00CB0B84" w:rsidRDefault="00CB7393" w:rsidP="00CB7393">
      <w:pPr>
        <w:tabs>
          <w:tab w:val="left" w:pos="1900"/>
        </w:tabs>
        <w:jc w:val="both"/>
        <w:rPr>
          <w:rFonts w:ascii="Calibri" w:hAnsi="Calibri" w:cs="Calibri"/>
        </w:rPr>
      </w:pPr>
      <w:r w:rsidRPr="00CB0B84">
        <w:rPr>
          <w:rFonts w:ascii="Calibri" w:hAnsi="Calibri" w:cs="Calibri"/>
        </w:rPr>
        <w:t>Dicho esto, en el asunto que nos convoca, resulta improcedente para el suscrito iniciar actuación disciplinaria, como quiera que, los hechos que se señalan como irregulares, no detentan relevancia para la órbita disciplinaría que le concierne a esta oficina. Ello, entendiendo que el sustento factico de la queja del presente proceso, se basa en un presunto caso de XXXXX cual fue desvirtuado por el señor, quien remitió información que obra en el expediente manifestando que, los hechos acaecieron el día XXX de 2025.</w:t>
      </w:r>
    </w:p>
    <w:p w14:paraId="690BFC8E" w14:textId="340D3981" w:rsidR="00CB7393" w:rsidRPr="00CB0B84" w:rsidRDefault="00CB7393" w:rsidP="00CB7393">
      <w:pPr>
        <w:tabs>
          <w:tab w:val="left" w:pos="1900"/>
        </w:tabs>
        <w:jc w:val="both"/>
        <w:rPr>
          <w:rFonts w:ascii="Calibri" w:hAnsi="Calibri" w:cs="Calibri"/>
        </w:rPr>
      </w:pPr>
      <w:r w:rsidRPr="00CB0B84">
        <w:rPr>
          <w:rFonts w:ascii="Calibri" w:hAnsi="Calibri" w:cs="Calibri"/>
        </w:rPr>
        <w:t>Por consiguiente, dicha determinación de improcedencia resulta de la ponderación de los hechos narrados por el quejoso versus la información suministrada XXXXXX, arrojando como conclusión que no se evidencia una conducta de reproche disciplinario, sino que obedece más bien a diferencias personales entre XXXXX que no se relaciona directamente con el ejercicio de sus funciones, por lo tanto, se inhibirá de iniciar actuación alguna, de conformidad con el artículo 209 de la Ley 1952 de 2019, que dispone:</w:t>
      </w:r>
    </w:p>
    <w:p w14:paraId="0BE4BE23" w14:textId="77777777" w:rsidR="00CB7393" w:rsidRPr="00CB0B84" w:rsidRDefault="00CB7393" w:rsidP="00CB7393">
      <w:pPr>
        <w:tabs>
          <w:tab w:val="left" w:pos="1900"/>
        </w:tabs>
        <w:spacing w:after="0"/>
        <w:ind w:left="567" w:right="510"/>
        <w:jc w:val="both"/>
        <w:rPr>
          <w:rFonts w:ascii="Calibri" w:hAnsi="Calibri" w:cs="Calibri"/>
          <w:i/>
          <w:iCs/>
        </w:rPr>
      </w:pPr>
      <w:r w:rsidRPr="00CB0B84">
        <w:rPr>
          <w:rFonts w:ascii="Calibri" w:hAnsi="Calibri" w:cs="Calibri"/>
        </w:rPr>
        <w:t>“</w:t>
      </w:r>
      <w:r w:rsidRPr="00CB0B84">
        <w:rPr>
          <w:rFonts w:ascii="Calibri" w:hAnsi="Calibri" w:cs="Calibri"/>
          <w:i/>
          <w:iCs/>
        </w:rPr>
        <w:t xml:space="preserve">Cuando la información o queja sea manifiestamente temeraria o se refiere a </w:t>
      </w:r>
      <w:r w:rsidRPr="00CB0B84">
        <w:rPr>
          <w:rFonts w:ascii="Calibri" w:hAnsi="Calibri" w:cs="Calibri"/>
          <w:b/>
          <w:bCs/>
          <w:i/>
          <w:iCs/>
          <w:u w:val="single"/>
        </w:rPr>
        <w:t xml:space="preserve">hechos disciplinariamente irrelevantes </w:t>
      </w:r>
      <w:r w:rsidRPr="00CB0B84">
        <w:rPr>
          <w:rFonts w:ascii="Calibri" w:hAnsi="Calibri" w:cs="Calibri"/>
          <w:i/>
          <w:iCs/>
        </w:rPr>
        <w:t xml:space="preserve">o de imposible ocurrencia o sea presentado de manera absolutamente inconcreta o difusa, el funcionario de plano se inhibirá de iniciar actuación alguna. Contra esta decisión no procede recurso alguno”. </w:t>
      </w:r>
    </w:p>
    <w:p w14:paraId="615F036E" w14:textId="77777777" w:rsidR="00CB7393" w:rsidRPr="00CB0B84" w:rsidRDefault="00CB7393" w:rsidP="00CB7393">
      <w:pPr>
        <w:tabs>
          <w:tab w:val="left" w:pos="1900"/>
        </w:tabs>
        <w:spacing w:after="0"/>
        <w:jc w:val="both"/>
        <w:rPr>
          <w:rFonts w:ascii="Calibri" w:hAnsi="Calibri" w:cs="Calibri"/>
        </w:rPr>
      </w:pPr>
    </w:p>
    <w:p w14:paraId="15136E14" w14:textId="77777777" w:rsidR="00CB7393" w:rsidRPr="00CB0B84" w:rsidRDefault="00CB7393" w:rsidP="00CB7393">
      <w:pPr>
        <w:tabs>
          <w:tab w:val="left" w:pos="1900"/>
        </w:tabs>
        <w:jc w:val="both"/>
        <w:rPr>
          <w:rFonts w:ascii="Calibri" w:hAnsi="Calibri" w:cs="Calibri"/>
        </w:rPr>
      </w:pPr>
      <w:r w:rsidRPr="00CB0B84">
        <w:rPr>
          <w:rFonts w:ascii="Calibri" w:hAnsi="Calibri" w:cs="Calibri"/>
        </w:rPr>
        <w:t xml:space="preserve">Cabe resaltar que, la decisión inhibitoria está referida al hecho de abstenerse de conocer un asunto por las razones determinadas por el legislador, que son la temeridad de la queja, </w:t>
      </w:r>
      <w:r w:rsidRPr="00CB0B84">
        <w:rPr>
          <w:rFonts w:ascii="Calibri" w:hAnsi="Calibri" w:cs="Calibri"/>
          <w:b/>
          <w:bCs/>
        </w:rPr>
        <w:t>la irrelevancia disciplinaria de los hechos,</w:t>
      </w:r>
      <w:r w:rsidRPr="00CB0B84">
        <w:rPr>
          <w:rFonts w:ascii="Calibri" w:hAnsi="Calibri" w:cs="Calibri"/>
        </w:rPr>
        <w:t xml:space="preserve"> su imposible ocurrencia o presentación incorrecta o difusa de los mismos, lo cual implica no ejercer </w:t>
      </w:r>
      <w:r w:rsidRPr="00CB0B84">
        <w:rPr>
          <w:rFonts w:ascii="Calibri" w:hAnsi="Calibri" w:cs="Calibri"/>
        </w:rPr>
        <w:lastRenderedPageBreak/>
        <w:t>una atribución o facultad, sentido en el cual esta decisión difiere de la determinación de archivo de la actuación que necesariamente implica valoración del asunto y la toma de decisión al respecto.</w:t>
      </w:r>
    </w:p>
    <w:p w14:paraId="2572A3F3" w14:textId="6DE9F40F" w:rsidR="00CB7393" w:rsidRPr="00CB0B84" w:rsidRDefault="00CB7393" w:rsidP="00CB7393">
      <w:pPr>
        <w:tabs>
          <w:tab w:val="left" w:pos="1900"/>
        </w:tabs>
        <w:jc w:val="both"/>
        <w:rPr>
          <w:rFonts w:ascii="Calibri" w:hAnsi="Calibri" w:cs="Calibri"/>
        </w:rPr>
      </w:pPr>
      <w:r w:rsidRPr="00CB0B84">
        <w:rPr>
          <w:rFonts w:ascii="Calibri" w:hAnsi="Calibri" w:cs="Calibri"/>
        </w:rPr>
        <w:t xml:space="preserve">La irrelevancia de los hechos en materia disciplinaria, en concepto de esta oficina, </w:t>
      </w:r>
      <w:r w:rsidR="00045BC8" w:rsidRPr="00CB0B84">
        <w:rPr>
          <w:rFonts w:ascii="Calibri" w:hAnsi="Calibri" w:cs="Calibri"/>
        </w:rPr>
        <w:t>está</w:t>
      </w:r>
      <w:r w:rsidRPr="00CB0B84">
        <w:rPr>
          <w:rFonts w:ascii="Calibri" w:hAnsi="Calibri" w:cs="Calibri"/>
        </w:rPr>
        <w:t xml:space="preserve"> relacionada con el hecho de que la conducta no esté calificada como falta disciplinaría, lo cual </w:t>
      </w:r>
      <w:r w:rsidR="00045BC8" w:rsidRPr="00CB0B84">
        <w:rPr>
          <w:rFonts w:ascii="Calibri" w:hAnsi="Calibri" w:cs="Calibri"/>
        </w:rPr>
        <w:t>está</w:t>
      </w:r>
      <w:r w:rsidRPr="00CB0B84">
        <w:rPr>
          <w:rFonts w:ascii="Calibri" w:hAnsi="Calibri" w:cs="Calibri"/>
        </w:rPr>
        <w:t xml:space="preserve"> definido por el artículo 26 de la Ley 1952 de 2019, como la violación de deberes, extralimitación en el ejercicio de sus funciones, prohibiciones y violación al régimen de inhabilidades e incompatibilidades, sin estar amparado en causales de exclusión de responsabilidad y siempre y cuando, sin justificación alguna, se afecte con ello el deber funcional del servicio. </w:t>
      </w:r>
    </w:p>
    <w:p w14:paraId="3A085AF9" w14:textId="77777777" w:rsidR="00CB7393" w:rsidRPr="00CB0B84" w:rsidRDefault="00CB7393" w:rsidP="00CB7393">
      <w:pPr>
        <w:tabs>
          <w:tab w:val="left" w:pos="1900"/>
        </w:tabs>
        <w:jc w:val="both"/>
        <w:rPr>
          <w:rFonts w:ascii="Calibri" w:hAnsi="Calibri" w:cs="Calibri"/>
        </w:rPr>
      </w:pPr>
      <w:r w:rsidRPr="00CB0B84">
        <w:rPr>
          <w:rFonts w:ascii="Calibri" w:hAnsi="Calibri" w:cs="Calibri"/>
        </w:rPr>
        <w:t>Al respecto, el autor OSCAR VILLEGAS GARZÓN, en su libro “</w:t>
      </w:r>
      <w:r w:rsidRPr="00CB0B84">
        <w:rPr>
          <w:rFonts w:ascii="Calibri" w:hAnsi="Calibri" w:cs="Calibri"/>
          <w:i/>
          <w:iCs/>
        </w:rPr>
        <w:t>El Proceso Disciplinario”,</w:t>
      </w:r>
      <w:r w:rsidRPr="00CB0B84">
        <w:rPr>
          <w:rFonts w:ascii="Calibri" w:hAnsi="Calibri" w:cs="Calibri"/>
        </w:rPr>
        <w:t xml:space="preserve"> sobre el tema precisa lo siguiente:</w:t>
      </w:r>
    </w:p>
    <w:p w14:paraId="6D96D70C" w14:textId="77777777" w:rsidR="00CB7393" w:rsidRPr="00CB0B84" w:rsidRDefault="00CB7393" w:rsidP="00CB7393">
      <w:pPr>
        <w:tabs>
          <w:tab w:val="left" w:pos="1900"/>
        </w:tabs>
        <w:spacing w:after="0"/>
        <w:ind w:left="567" w:right="510"/>
        <w:jc w:val="both"/>
        <w:rPr>
          <w:rFonts w:ascii="Calibri" w:hAnsi="Calibri" w:cs="Calibri"/>
        </w:rPr>
      </w:pPr>
      <w:r w:rsidRPr="00CB0B84">
        <w:rPr>
          <w:rFonts w:ascii="Calibri" w:hAnsi="Calibri" w:cs="Calibri"/>
        </w:rPr>
        <w:t>“</w:t>
      </w:r>
      <w:r w:rsidRPr="00CB0B84">
        <w:rPr>
          <w:rFonts w:ascii="Calibri" w:hAnsi="Calibri" w:cs="Calibri"/>
          <w:i/>
          <w:iCs/>
        </w:rPr>
        <w:t>si la conducta que se predica del servidor público o del particular que ejerce funciones públicas no afecta ni pone en peligro el deber funcional, o no se obró ni con dolo ni culpa, ni se trata de garantizar la actividad de los principios y fines trazados por el artículo 26, ni tampoco está consagrada como falta y es irrelevante, no amerita la apertura de indagación preliminar, mucho menos de investigación</w:t>
      </w:r>
      <w:r w:rsidRPr="00CB0B84">
        <w:rPr>
          <w:rFonts w:ascii="Calibri" w:hAnsi="Calibri" w:cs="Calibri"/>
        </w:rPr>
        <w:t xml:space="preserve">”. </w:t>
      </w:r>
    </w:p>
    <w:p w14:paraId="4EC4EA55" w14:textId="77777777" w:rsidR="00CB7393" w:rsidRPr="00CB0B84" w:rsidRDefault="00CB7393" w:rsidP="00CB7393">
      <w:pPr>
        <w:tabs>
          <w:tab w:val="left" w:pos="1900"/>
        </w:tabs>
        <w:spacing w:after="0"/>
        <w:jc w:val="both"/>
        <w:rPr>
          <w:rFonts w:ascii="Calibri" w:hAnsi="Calibri" w:cs="Calibri"/>
        </w:rPr>
      </w:pPr>
    </w:p>
    <w:p w14:paraId="735EAC32" w14:textId="77777777" w:rsidR="00CB7393" w:rsidRPr="00CB0B84" w:rsidRDefault="00CB7393" w:rsidP="00CB7393">
      <w:pPr>
        <w:tabs>
          <w:tab w:val="left" w:pos="1900"/>
        </w:tabs>
        <w:spacing w:after="0"/>
        <w:jc w:val="both"/>
        <w:rPr>
          <w:rFonts w:ascii="Calibri" w:hAnsi="Calibri" w:cs="Calibri"/>
        </w:rPr>
      </w:pPr>
      <w:r w:rsidRPr="00CB0B84">
        <w:rPr>
          <w:rFonts w:ascii="Calibri" w:hAnsi="Calibri" w:cs="Calibri"/>
        </w:rPr>
        <w:t xml:space="preserve">De lo citado, se puede inferir que, en el caso que nos ocupa, no se detectan hechos en los que se vislumbre irregularidad disciplinaria a investigar, toda vez que, como se expuso en líneas precedentes, las razones fácticas de la queja se relacionan con una simple discusión entre los docentes implicados, por lo que, no contiene elementos constitutivos que conlleve a incumplimiento de deberes disciplinarios, condición necesaria para iniciar una actuación en el ámbito de competencia de esta oficia, y por ende, se procederá a emitir decisión inhibitoria. </w:t>
      </w:r>
    </w:p>
    <w:p w14:paraId="1200FAE5" w14:textId="77777777" w:rsidR="00CB7393" w:rsidRPr="00CB0B84" w:rsidRDefault="00CB7393" w:rsidP="00CB7393">
      <w:pPr>
        <w:tabs>
          <w:tab w:val="left" w:pos="1900"/>
        </w:tabs>
        <w:spacing w:after="0"/>
        <w:jc w:val="both"/>
        <w:rPr>
          <w:rFonts w:ascii="Calibri" w:hAnsi="Calibri" w:cs="Calibri"/>
        </w:rPr>
      </w:pPr>
    </w:p>
    <w:p w14:paraId="4AA5D911" w14:textId="77777777" w:rsidR="00CB7393" w:rsidRPr="00CB0B84" w:rsidRDefault="00CB7393" w:rsidP="00CB7393">
      <w:pPr>
        <w:tabs>
          <w:tab w:val="left" w:pos="1900"/>
        </w:tabs>
        <w:spacing w:after="0"/>
        <w:jc w:val="both"/>
        <w:rPr>
          <w:rFonts w:ascii="Calibri" w:hAnsi="Calibri" w:cs="Calibri"/>
        </w:rPr>
      </w:pPr>
      <w:r w:rsidRPr="00CB0B84">
        <w:rPr>
          <w:rFonts w:ascii="Calibri" w:hAnsi="Calibri" w:cs="Calibri"/>
        </w:rPr>
        <w:t>En mérito de lo expuesto, el jefe de la Oficina de Asuntos Disciplinarios,</w:t>
      </w:r>
    </w:p>
    <w:p w14:paraId="57852BA7" w14:textId="77777777" w:rsidR="00CB7393" w:rsidRPr="00CB0B84" w:rsidRDefault="00CB7393" w:rsidP="00CB7393">
      <w:pPr>
        <w:tabs>
          <w:tab w:val="left" w:pos="1900"/>
        </w:tabs>
        <w:spacing w:after="0"/>
        <w:jc w:val="both"/>
        <w:rPr>
          <w:rFonts w:ascii="Calibri" w:hAnsi="Calibri" w:cs="Calibri"/>
        </w:rPr>
      </w:pPr>
    </w:p>
    <w:p w14:paraId="2AE894A3" w14:textId="77777777" w:rsidR="00CB7393" w:rsidRPr="00CB0B84" w:rsidRDefault="00CB7393" w:rsidP="00CB7393">
      <w:pPr>
        <w:tabs>
          <w:tab w:val="left" w:pos="1900"/>
        </w:tabs>
        <w:spacing w:after="0"/>
        <w:jc w:val="center"/>
        <w:rPr>
          <w:rFonts w:ascii="Calibri" w:hAnsi="Calibri" w:cs="Calibri"/>
          <w:b/>
          <w:bCs/>
        </w:rPr>
      </w:pPr>
      <w:r w:rsidRPr="00CB0B84">
        <w:rPr>
          <w:rFonts w:ascii="Calibri" w:hAnsi="Calibri" w:cs="Calibri"/>
          <w:b/>
          <w:bCs/>
        </w:rPr>
        <w:t>RESUELVE:</w:t>
      </w:r>
    </w:p>
    <w:p w14:paraId="379B0B6E" w14:textId="77777777" w:rsidR="00CB7393" w:rsidRPr="00CB0B84" w:rsidRDefault="00CB7393" w:rsidP="00CB7393">
      <w:pPr>
        <w:tabs>
          <w:tab w:val="left" w:pos="1900"/>
        </w:tabs>
        <w:spacing w:after="0"/>
        <w:jc w:val="center"/>
        <w:rPr>
          <w:rFonts w:ascii="Calibri" w:hAnsi="Calibri" w:cs="Calibri"/>
          <w:b/>
          <w:bCs/>
        </w:rPr>
      </w:pPr>
    </w:p>
    <w:p w14:paraId="5212491C" w14:textId="77777777" w:rsidR="00CB7393" w:rsidRPr="00CB0B84" w:rsidRDefault="00CB7393" w:rsidP="00CB7393">
      <w:pPr>
        <w:tabs>
          <w:tab w:val="left" w:pos="1900"/>
        </w:tabs>
        <w:jc w:val="both"/>
        <w:rPr>
          <w:rFonts w:ascii="Calibri" w:hAnsi="Calibri" w:cs="Calibri"/>
        </w:rPr>
      </w:pPr>
      <w:r w:rsidRPr="00CB0B84">
        <w:rPr>
          <w:rFonts w:ascii="Calibri" w:hAnsi="Calibri" w:cs="Calibri"/>
          <w:b/>
          <w:bCs/>
        </w:rPr>
        <w:t>PRIMERO: INHIBIRSE</w:t>
      </w:r>
      <w:r w:rsidRPr="00CB0B84">
        <w:rPr>
          <w:rFonts w:ascii="Calibri" w:hAnsi="Calibri" w:cs="Calibri"/>
        </w:rPr>
        <w:t xml:space="preserve"> de adelantar acción disciplinaria, con base en el escrito origen de esta decisión, por las razones de hecho y de derecho expuestas en este proveído.</w:t>
      </w:r>
    </w:p>
    <w:p w14:paraId="228BA252" w14:textId="77777777" w:rsidR="00CB7393" w:rsidRPr="00CB0B84" w:rsidRDefault="00CB7393" w:rsidP="00CB7393">
      <w:pPr>
        <w:tabs>
          <w:tab w:val="left" w:pos="1900"/>
        </w:tabs>
        <w:jc w:val="both"/>
        <w:rPr>
          <w:rFonts w:ascii="Calibri" w:hAnsi="Calibri" w:cs="Calibri"/>
        </w:rPr>
      </w:pPr>
      <w:r w:rsidRPr="00CB0B84">
        <w:rPr>
          <w:rFonts w:ascii="Calibri" w:hAnsi="Calibri" w:cs="Calibri"/>
          <w:b/>
          <w:bCs/>
        </w:rPr>
        <w:t>SEGUNDO:</w:t>
      </w:r>
      <w:r w:rsidRPr="00CB0B84">
        <w:rPr>
          <w:rFonts w:ascii="Calibri" w:hAnsi="Calibri" w:cs="Calibri"/>
        </w:rPr>
        <w:t xml:space="preserve"> Contra la presente decisión no procede recurso alguno. </w:t>
      </w:r>
    </w:p>
    <w:p w14:paraId="61DEF3E3" w14:textId="77777777" w:rsidR="00CB7393" w:rsidRPr="00CB0B84" w:rsidRDefault="00CB7393" w:rsidP="00CB7393">
      <w:pPr>
        <w:tabs>
          <w:tab w:val="left" w:pos="1900"/>
        </w:tabs>
        <w:jc w:val="both"/>
        <w:rPr>
          <w:rFonts w:ascii="Calibri" w:hAnsi="Calibri" w:cs="Calibri"/>
        </w:rPr>
      </w:pPr>
    </w:p>
    <w:p w14:paraId="413F2BF9" w14:textId="77777777" w:rsidR="00CB7393" w:rsidRPr="00CB0B84" w:rsidRDefault="00CB7393" w:rsidP="00CB7393">
      <w:pPr>
        <w:spacing w:before="200" w:after="0" w:line="276" w:lineRule="auto"/>
        <w:ind w:right="5"/>
        <w:jc w:val="center"/>
        <w:rPr>
          <w:rFonts w:ascii="Calibri" w:eastAsia="Arial Narrow" w:hAnsi="Calibri" w:cs="Calibri"/>
          <w:b/>
          <w:lang w:val="es-ES"/>
        </w:rPr>
      </w:pPr>
      <w:r w:rsidRPr="00CB0B84">
        <w:rPr>
          <w:rFonts w:ascii="Calibri" w:eastAsia="Arial Narrow" w:hAnsi="Calibri" w:cs="Calibri"/>
          <w:b/>
          <w:lang w:val="es-ES"/>
        </w:rPr>
        <w:t>NOTIFÍQUESE Y CÚMPLASE.</w:t>
      </w:r>
    </w:p>
    <w:p w14:paraId="2F86C780" w14:textId="77777777" w:rsidR="00CB7393" w:rsidRPr="00CB0B84" w:rsidRDefault="00CB7393" w:rsidP="00CB7393">
      <w:pPr>
        <w:spacing w:line="240" w:lineRule="auto"/>
        <w:jc w:val="both"/>
        <w:rPr>
          <w:rFonts w:ascii="Calibri" w:eastAsia="Arial Narrow" w:hAnsi="Calibri" w:cs="Calibri"/>
        </w:rPr>
      </w:pPr>
    </w:p>
    <w:p w14:paraId="60A03D62" w14:textId="34C068E1" w:rsidR="00CB7393" w:rsidRPr="00CB0B84" w:rsidRDefault="00C844E3" w:rsidP="00CB7393">
      <w:pPr>
        <w:spacing w:after="0" w:line="240" w:lineRule="auto"/>
        <w:jc w:val="center"/>
        <w:rPr>
          <w:rFonts w:ascii="Calibri" w:eastAsia="Arial Narrow" w:hAnsi="Calibri" w:cs="Calibri"/>
          <w:b/>
        </w:rPr>
      </w:pPr>
      <w:proofErr w:type="spellStart"/>
      <w:r w:rsidRPr="00CB0B84">
        <w:rPr>
          <w:rFonts w:ascii="Calibri" w:eastAsia="Arial Narrow" w:hAnsi="Calibri" w:cs="Calibri"/>
          <w:b/>
        </w:rPr>
        <w:t>xxxxxx</w:t>
      </w:r>
      <w:proofErr w:type="spellEnd"/>
    </w:p>
    <w:p w14:paraId="7E5FC82B" w14:textId="77777777" w:rsidR="00CB7393" w:rsidRPr="00CB0B84" w:rsidRDefault="00CB7393" w:rsidP="00CB7393">
      <w:pPr>
        <w:spacing w:after="0" w:line="240" w:lineRule="auto"/>
        <w:jc w:val="center"/>
        <w:rPr>
          <w:rFonts w:ascii="Calibri" w:eastAsia="Arial Narrow" w:hAnsi="Calibri" w:cs="Calibri"/>
          <w:b/>
        </w:rPr>
      </w:pPr>
      <w:r w:rsidRPr="00CB0B84">
        <w:rPr>
          <w:rFonts w:ascii="Calibri" w:eastAsia="Arial Narrow" w:hAnsi="Calibri" w:cs="Calibri"/>
          <w:b/>
        </w:rPr>
        <w:t>Jefe de Asuntos Disciplinarios.</w:t>
      </w:r>
    </w:p>
    <w:p w14:paraId="3B8F0538" w14:textId="77777777" w:rsidR="00CB7393" w:rsidRPr="00CB0B84" w:rsidRDefault="00CB7393" w:rsidP="00CB7393">
      <w:pPr>
        <w:spacing w:after="0" w:line="240" w:lineRule="auto"/>
        <w:jc w:val="center"/>
        <w:rPr>
          <w:rFonts w:ascii="Calibri" w:eastAsia="Arial Narrow" w:hAnsi="Calibri" w:cs="Calibri"/>
          <w:b/>
        </w:rPr>
      </w:pPr>
      <w:r w:rsidRPr="00CB0B84">
        <w:rPr>
          <w:rFonts w:ascii="Calibri" w:eastAsia="Arial Narrow" w:hAnsi="Calibri" w:cs="Calibri"/>
          <w:b/>
        </w:rPr>
        <w:t>Alcaldía Distrital de Santa Marta.</w:t>
      </w:r>
    </w:p>
    <w:p w14:paraId="78C808E3" w14:textId="77777777" w:rsidR="00CB7393" w:rsidRPr="00CB0B84" w:rsidRDefault="00CB7393" w:rsidP="00CB7393">
      <w:pPr>
        <w:tabs>
          <w:tab w:val="left" w:pos="1900"/>
        </w:tabs>
        <w:jc w:val="both"/>
        <w:rPr>
          <w:rFonts w:ascii="Calibri" w:hAnsi="Calibri" w:cs="Calibri"/>
        </w:rPr>
      </w:pPr>
    </w:p>
    <w:p w14:paraId="28D66F97" w14:textId="77777777" w:rsidR="00DC5358" w:rsidRPr="00CB0B84" w:rsidRDefault="00DC5358" w:rsidP="00DC5358">
      <w:pPr>
        <w:spacing w:after="0" w:line="240" w:lineRule="auto"/>
        <w:rPr>
          <w:rFonts w:ascii="Calibri" w:eastAsia="Times New Roman" w:hAnsi="Calibri" w:cs="Calibri"/>
          <w:bCs/>
          <w:i/>
          <w:iCs/>
          <w:lang w:val="es-ES" w:eastAsia="es-ES"/>
        </w:rPr>
      </w:pPr>
    </w:p>
    <w:p w14:paraId="4583BB43" w14:textId="77777777" w:rsidR="00DC5358" w:rsidRPr="00CB0B84" w:rsidRDefault="00DC5358" w:rsidP="00DC5358">
      <w:pPr>
        <w:spacing w:after="0" w:line="240" w:lineRule="auto"/>
        <w:rPr>
          <w:rFonts w:ascii="Calibri" w:eastAsia="Arial Narrow" w:hAnsi="Calibri" w:cs="Calibri"/>
          <w:color w:val="000000"/>
        </w:rPr>
      </w:pPr>
    </w:p>
    <w:p w14:paraId="3FD7B593" w14:textId="77777777" w:rsidR="000A22D7" w:rsidRDefault="000A22D7" w:rsidP="00685136">
      <w:pPr>
        <w:rPr>
          <w:rFonts w:ascii="Calibri" w:hAnsi="Calibri" w:cs="Calibri"/>
        </w:rPr>
      </w:pPr>
    </w:p>
    <w:p w14:paraId="12CF18FD" w14:textId="77777777" w:rsidR="00782C81" w:rsidRDefault="00782C81" w:rsidP="00685136">
      <w:pPr>
        <w:rPr>
          <w:rFonts w:ascii="Calibri" w:hAnsi="Calibri" w:cs="Calibri"/>
        </w:rPr>
      </w:pPr>
    </w:p>
    <w:p w14:paraId="7B8B9C03" w14:textId="77777777" w:rsidR="00912371" w:rsidRDefault="00912371" w:rsidP="00685136">
      <w:pPr>
        <w:rPr>
          <w:rFonts w:ascii="Calibri" w:hAnsi="Calibri" w:cs="Calibri"/>
        </w:rPr>
      </w:pPr>
    </w:p>
    <w:p w14:paraId="10F08AB6" w14:textId="77777777" w:rsidR="00782C81" w:rsidRPr="00CB0B84" w:rsidRDefault="00782C81" w:rsidP="00685136">
      <w:pPr>
        <w:rPr>
          <w:rFonts w:ascii="Calibri" w:hAnsi="Calibri" w:cs="Calibri"/>
        </w:rPr>
      </w:pPr>
    </w:p>
    <w:p w14:paraId="416513FB" w14:textId="5DBC49B7" w:rsidR="00DE191A" w:rsidRPr="00CB0B84" w:rsidRDefault="00DE191A" w:rsidP="00DE191A">
      <w:pPr>
        <w:tabs>
          <w:tab w:val="left" w:pos="7300"/>
        </w:tabs>
        <w:rPr>
          <w:rFonts w:ascii="Calibri" w:hAnsi="Calibri" w:cs="Calibri"/>
        </w:rPr>
      </w:pPr>
      <w:r w:rsidRPr="00CB0B84">
        <w:rPr>
          <w:rFonts w:ascii="Calibri" w:hAnsi="Calibri" w:cs="Calibri"/>
        </w:rPr>
        <w:tab/>
      </w:r>
    </w:p>
    <w:sectPr w:rsidR="00DE191A" w:rsidRPr="00CB0B84" w:rsidSect="00EC38CD">
      <w:headerReference w:type="default" r:id="rId8"/>
      <w:footerReference w:type="default" r:id="rId9"/>
      <w:pgSz w:w="12240" w:h="18720" w:code="14"/>
      <w:pgMar w:top="1440" w:right="1041" w:bottom="1440" w:left="1440" w:header="79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2DA1A" w14:textId="77777777" w:rsidR="00766437" w:rsidRDefault="00766437" w:rsidP="00685136">
      <w:pPr>
        <w:spacing w:after="0" w:line="240" w:lineRule="auto"/>
      </w:pPr>
      <w:r>
        <w:separator/>
      </w:r>
    </w:p>
  </w:endnote>
  <w:endnote w:type="continuationSeparator" w:id="0">
    <w:p w14:paraId="7591B3B7" w14:textId="77777777" w:rsidR="00766437" w:rsidRDefault="00766437" w:rsidP="00685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5958005"/>
      <w:docPartObj>
        <w:docPartGallery w:val="Page Numbers (Bottom of Page)"/>
        <w:docPartUnique/>
      </w:docPartObj>
    </w:sdtPr>
    <w:sdtContent>
      <w:sdt>
        <w:sdtPr>
          <w:id w:val="-1769616900"/>
          <w:docPartObj>
            <w:docPartGallery w:val="Page Numbers (Top of Page)"/>
            <w:docPartUnique/>
          </w:docPartObj>
        </w:sdtPr>
        <w:sdtContent>
          <w:p w14:paraId="6163D6CE" w14:textId="77777777" w:rsidR="00EC38CD" w:rsidRDefault="00EC38CD">
            <w:pPr>
              <w:pStyle w:val="Piedepgina"/>
              <w:jc w:val="right"/>
              <w:rPr>
                <w:b/>
                <w:bCs/>
                <w:sz w:val="24"/>
                <w:szCs w:val="24"/>
              </w:rPr>
            </w:pPr>
            <w:r>
              <w:rPr>
                <w:lang w:val="es-MX"/>
              </w:rPr>
              <w:t xml:space="preserve">Página </w:t>
            </w:r>
            <w:r>
              <w:rPr>
                <w:b/>
                <w:bCs/>
                <w:sz w:val="24"/>
                <w:szCs w:val="24"/>
              </w:rPr>
              <w:fldChar w:fldCharType="begin"/>
            </w:r>
            <w:r>
              <w:rPr>
                <w:b/>
                <w:bCs/>
              </w:rPr>
              <w:instrText>PAGE</w:instrText>
            </w:r>
            <w:r>
              <w:rPr>
                <w:b/>
                <w:bCs/>
                <w:sz w:val="24"/>
                <w:szCs w:val="24"/>
              </w:rPr>
              <w:fldChar w:fldCharType="separate"/>
            </w:r>
            <w:r>
              <w:rPr>
                <w:b/>
                <w:bCs/>
                <w:lang w:val="es-MX"/>
              </w:rPr>
              <w:t>2</w:t>
            </w:r>
            <w:r>
              <w:rPr>
                <w:b/>
                <w:bCs/>
                <w:sz w:val="24"/>
                <w:szCs w:val="24"/>
              </w:rPr>
              <w:fldChar w:fldCharType="end"/>
            </w:r>
            <w:r>
              <w:rPr>
                <w:lang w:val="es-MX"/>
              </w:rPr>
              <w:t xml:space="preserve"> de </w:t>
            </w:r>
            <w:r>
              <w:rPr>
                <w:b/>
                <w:bCs/>
                <w:sz w:val="24"/>
                <w:szCs w:val="24"/>
              </w:rPr>
              <w:fldChar w:fldCharType="begin"/>
            </w:r>
            <w:r>
              <w:rPr>
                <w:b/>
                <w:bCs/>
              </w:rPr>
              <w:instrText>NUMPAGES</w:instrText>
            </w:r>
            <w:r>
              <w:rPr>
                <w:b/>
                <w:bCs/>
                <w:sz w:val="24"/>
                <w:szCs w:val="24"/>
              </w:rPr>
              <w:fldChar w:fldCharType="separate"/>
            </w:r>
            <w:r>
              <w:rPr>
                <w:b/>
                <w:bCs/>
                <w:lang w:val="es-MX"/>
              </w:rPr>
              <w:t>2</w:t>
            </w:r>
            <w:r>
              <w:rPr>
                <w:b/>
                <w:bCs/>
                <w:sz w:val="24"/>
                <w:szCs w:val="24"/>
              </w:rPr>
              <w:fldChar w:fldCharType="end"/>
            </w:r>
          </w:p>
          <w:p w14:paraId="56F0E63B" w14:textId="77777777" w:rsidR="00EC38CD" w:rsidRDefault="00EC38CD">
            <w:pPr>
              <w:pStyle w:val="Piedepgina"/>
              <w:jc w:val="right"/>
              <w:rPr>
                <w:b/>
                <w:bCs/>
                <w:sz w:val="24"/>
                <w:szCs w:val="24"/>
              </w:rPr>
            </w:pPr>
          </w:p>
          <w:p w14:paraId="3C41296B" w14:textId="77777777" w:rsidR="00EC38CD" w:rsidRPr="00912371" w:rsidRDefault="00EC38CD" w:rsidP="00EC38CD">
            <w:pPr>
              <w:pStyle w:val="Piedepgina"/>
              <w:jc w:val="center"/>
              <w:rPr>
                <w:rFonts w:ascii="Calibri" w:hAnsi="Calibri" w:cs="Calibri"/>
                <w:b/>
                <w:bCs/>
                <w:color w:val="808080" w:themeColor="background1" w:themeShade="80"/>
              </w:rPr>
            </w:pPr>
            <w:r w:rsidRPr="00912371">
              <w:rPr>
                <w:rFonts w:ascii="Calibri" w:hAnsi="Calibri" w:cs="Calibri"/>
                <w:b/>
                <w:bCs/>
                <w:color w:val="808080" w:themeColor="background1" w:themeShade="80"/>
              </w:rPr>
              <w:t>Este Formato no puede ser alterado o modificado sin previa autorización de la Oficina de Sistemas Integrados de Gestión</w:t>
            </w:r>
          </w:p>
          <w:p w14:paraId="66EE1C84" w14:textId="2B21A807" w:rsidR="00EC38CD" w:rsidRDefault="00EC38CD" w:rsidP="00EC38CD">
            <w:pPr>
              <w:pStyle w:val="Piedepgina"/>
              <w:jc w:val="center"/>
            </w:pPr>
          </w:p>
        </w:sdtContent>
      </w:sdt>
    </w:sdtContent>
  </w:sdt>
  <w:p w14:paraId="2CFA975A" w14:textId="1E4B7968" w:rsidR="00685136" w:rsidRDefault="006851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53E80" w14:textId="77777777" w:rsidR="00766437" w:rsidRDefault="00766437" w:rsidP="00685136">
      <w:pPr>
        <w:spacing w:after="0" w:line="240" w:lineRule="auto"/>
      </w:pPr>
      <w:r>
        <w:separator/>
      </w:r>
    </w:p>
  </w:footnote>
  <w:footnote w:type="continuationSeparator" w:id="0">
    <w:p w14:paraId="2DE247D7" w14:textId="77777777" w:rsidR="00766437" w:rsidRDefault="00766437" w:rsidP="00685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Normal"/>
      <w:tblW w:w="978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10"/>
      <w:gridCol w:w="4994"/>
      <w:gridCol w:w="2977"/>
    </w:tblGrid>
    <w:tr w:rsidR="00CB7393" w14:paraId="790C07E6" w14:textId="77777777" w:rsidTr="00CB0B84">
      <w:trPr>
        <w:trHeight w:val="409"/>
      </w:trPr>
      <w:tc>
        <w:tcPr>
          <w:tcW w:w="1810" w:type="dxa"/>
          <w:vMerge w:val="restart"/>
          <w:vAlign w:val="center"/>
        </w:tcPr>
        <w:p w14:paraId="38527131" w14:textId="77777777" w:rsidR="00CB7393" w:rsidRDefault="00CB7393" w:rsidP="00025935">
          <w:pPr>
            <w:pStyle w:val="TableParagraph"/>
            <w:jc w:val="center"/>
            <w:rPr>
              <w:rFonts w:ascii="Times New Roman"/>
              <w:sz w:val="18"/>
            </w:rPr>
          </w:pPr>
          <w:r>
            <w:rPr>
              <w:rFonts w:ascii="Times New Roman"/>
              <w:noProof/>
              <w:sz w:val="18"/>
            </w:rPr>
            <w:drawing>
              <wp:inline distT="0" distB="0" distL="0" distR="0" wp14:anchorId="2AEA963D" wp14:editId="3B3AF7E1">
                <wp:extent cx="1316355" cy="756920"/>
                <wp:effectExtent l="0" t="0" r="0" b="5080"/>
                <wp:docPr id="746611940" name="Imagen 1"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03563" name="Imagen 1" descr="Logotipo&#10;&#10;El contenido generado por IA puede ser incorrecto."/>
                        <pic:cNvPicPr/>
                      </pic:nvPicPr>
                      <pic:blipFill rotWithShape="1">
                        <a:blip r:embed="rId1">
                          <a:extLst>
                            <a:ext uri="{28A0092B-C50C-407E-A947-70E740481C1C}">
                              <a14:useLocalDpi xmlns:a14="http://schemas.microsoft.com/office/drawing/2010/main" val="0"/>
                            </a:ext>
                          </a:extLst>
                        </a:blip>
                        <a:srcRect l="7990" t="5920"/>
                        <a:stretch/>
                      </pic:blipFill>
                      <pic:spPr bwMode="auto">
                        <a:xfrm>
                          <a:off x="0" y="0"/>
                          <a:ext cx="1316355" cy="756920"/>
                        </a:xfrm>
                        <a:prstGeom prst="rect">
                          <a:avLst/>
                        </a:prstGeom>
                        <a:ln>
                          <a:noFill/>
                        </a:ln>
                        <a:extLst>
                          <a:ext uri="{53640926-AAD7-44D8-BBD7-CCE9431645EC}">
                            <a14:shadowObscured xmlns:a14="http://schemas.microsoft.com/office/drawing/2010/main"/>
                          </a:ext>
                        </a:extLst>
                      </pic:spPr>
                    </pic:pic>
                  </a:graphicData>
                </a:graphic>
              </wp:inline>
            </w:drawing>
          </w:r>
        </w:p>
      </w:tc>
      <w:tc>
        <w:tcPr>
          <w:tcW w:w="4994" w:type="dxa"/>
          <w:vMerge w:val="restart"/>
          <w:tcBorders>
            <w:right w:val="single" w:sz="4" w:space="0" w:color="000000"/>
          </w:tcBorders>
          <w:shd w:val="clear" w:color="auto" w:fill="8DB3E2"/>
          <w:vAlign w:val="center"/>
        </w:tcPr>
        <w:p w14:paraId="584B945D" w14:textId="5EA91BBE" w:rsidR="00CB7393" w:rsidRPr="00CB0B84" w:rsidRDefault="00CB7393" w:rsidP="00025935">
          <w:pPr>
            <w:jc w:val="center"/>
            <w:rPr>
              <w:rFonts w:ascii="Calibri" w:hAnsi="Calibri" w:cs="Calibri"/>
              <w:b/>
              <w:bCs/>
              <w:lang w:val="es-CO"/>
            </w:rPr>
          </w:pPr>
          <w:r w:rsidRPr="00CB0B84">
            <w:rPr>
              <w:rFonts w:ascii="Calibri" w:hAnsi="Calibri" w:cs="Calibri"/>
              <w:b/>
              <w:bCs/>
              <w:lang w:val="es-CO"/>
            </w:rPr>
            <w:t>FORMATO AUTO INHIBITORIO</w:t>
          </w:r>
        </w:p>
      </w:tc>
      <w:tc>
        <w:tcPr>
          <w:tcW w:w="2977" w:type="dxa"/>
          <w:tcBorders>
            <w:left w:val="single" w:sz="4" w:space="0" w:color="000000"/>
            <w:bottom w:val="single" w:sz="4" w:space="0" w:color="000000"/>
            <w:right w:val="single" w:sz="4" w:space="0" w:color="000000"/>
          </w:tcBorders>
          <w:vAlign w:val="center"/>
        </w:tcPr>
        <w:p w14:paraId="66878BD3" w14:textId="649856A8" w:rsidR="00CB7393" w:rsidRPr="00CB0B84" w:rsidRDefault="00CB7393" w:rsidP="00025935">
          <w:pPr>
            <w:rPr>
              <w:rFonts w:ascii="Calibri" w:hAnsi="Calibri" w:cs="Calibri"/>
              <w:lang w:val="es-CO"/>
            </w:rPr>
          </w:pPr>
          <w:r w:rsidRPr="00CB0B84">
            <w:rPr>
              <w:rFonts w:ascii="Calibri" w:hAnsi="Calibri" w:cs="Calibri"/>
              <w:b/>
              <w:lang w:val="es-CO"/>
            </w:rPr>
            <w:t xml:space="preserve"> Código: </w:t>
          </w:r>
          <w:r w:rsidRPr="00CB0B84">
            <w:rPr>
              <w:rFonts w:ascii="Calibri" w:hAnsi="Calibri" w:cs="Calibri"/>
              <w:lang w:val="es-CO"/>
            </w:rPr>
            <w:t>MA-GDI-F-00</w:t>
          </w:r>
          <w:r w:rsidR="00F45947">
            <w:rPr>
              <w:rFonts w:ascii="Calibri" w:hAnsi="Calibri" w:cs="Calibri"/>
              <w:lang w:val="es-CO"/>
            </w:rPr>
            <w:t>5</w:t>
          </w:r>
        </w:p>
      </w:tc>
    </w:tr>
    <w:tr w:rsidR="00CB7393" w14:paraId="5C4BB644" w14:textId="77777777" w:rsidTr="00CB0B84">
      <w:trPr>
        <w:trHeight w:val="354"/>
      </w:trPr>
      <w:tc>
        <w:tcPr>
          <w:tcW w:w="1810" w:type="dxa"/>
          <w:vMerge/>
          <w:tcBorders>
            <w:top w:val="nil"/>
          </w:tcBorders>
        </w:tcPr>
        <w:p w14:paraId="5D97F21F" w14:textId="77777777" w:rsidR="00CB7393" w:rsidRDefault="00CB7393" w:rsidP="00025935">
          <w:pPr>
            <w:rPr>
              <w:sz w:val="2"/>
              <w:szCs w:val="2"/>
            </w:rPr>
          </w:pPr>
        </w:p>
      </w:tc>
      <w:tc>
        <w:tcPr>
          <w:tcW w:w="4994" w:type="dxa"/>
          <w:vMerge/>
          <w:tcBorders>
            <w:right w:val="single" w:sz="4" w:space="0" w:color="000000"/>
          </w:tcBorders>
          <w:shd w:val="clear" w:color="auto" w:fill="8DB3E2"/>
          <w:vAlign w:val="center"/>
        </w:tcPr>
        <w:p w14:paraId="29307AEF" w14:textId="653EB5AC" w:rsidR="00CB7393" w:rsidRPr="00CB0B84" w:rsidRDefault="00CB7393" w:rsidP="00025935">
          <w:pPr>
            <w:jc w:val="center"/>
            <w:rPr>
              <w:rFonts w:ascii="Calibri" w:hAnsi="Calibri" w:cs="Calibri"/>
              <w:b/>
              <w:lang w:val="es-CO"/>
            </w:rPr>
          </w:pPr>
        </w:p>
      </w:tc>
      <w:tc>
        <w:tcPr>
          <w:tcW w:w="2977" w:type="dxa"/>
          <w:tcBorders>
            <w:top w:val="single" w:sz="4" w:space="0" w:color="000000"/>
            <w:left w:val="single" w:sz="4" w:space="0" w:color="000000"/>
            <w:right w:val="single" w:sz="4" w:space="0" w:color="000000"/>
          </w:tcBorders>
          <w:vAlign w:val="center"/>
        </w:tcPr>
        <w:p w14:paraId="43E8FD56" w14:textId="77777777" w:rsidR="00CB7393" w:rsidRPr="00CB0B84" w:rsidRDefault="00CB7393" w:rsidP="00025935">
          <w:pPr>
            <w:rPr>
              <w:rFonts w:ascii="Calibri" w:hAnsi="Calibri" w:cs="Calibri"/>
              <w:lang w:val="es-CO"/>
            </w:rPr>
          </w:pPr>
          <w:r w:rsidRPr="00CB0B84">
            <w:rPr>
              <w:rFonts w:ascii="Calibri" w:hAnsi="Calibri" w:cs="Calibri"/>
              <w:b/>
              <w:lang w:val="es-CO"/>
            </w:rPr>
            <w:t xml:space="preserve"> Versión:</w:t>
          </w:r>
          <w:r w:rsidRPr="00CB0B84">
            <w:rPr>
              <w:rFonts w:ascii="Calibri" w:hAnsi="Calibri" w:cs="Calibri"/>
              <w:lang w:val="es-CO"/>
            </w:rPr>
            <w:t xml:space="preserve"> 1</w:t>
          </w:r>
        </w:p>
      </w:tc>
    </w:tr>
    <w:tr w:rsidR="00025935" w14:paraId="46BF108C" w14:textId="77777777" w:rsidTr="00CB0B84">
      <w:trPr>
        <w:trHeight w:val="453"/>
      </w:trPr>
      <w:tc>
        <w:tcPr>
          <w:tcW w:w="1810" w:type="dxa"/>
          <w:vMerge/>
          <w:tcBorders>
            <w:top w:val="nil"/>
          </w:tcBorders>
        </w:tcPr>
        <w:p w14:paraId="5F9C295D" w14:textId="77777777" w:rsidR="00025935" w:rsidRDefault="00025935" w:rsidP="00025935">
          <w:pPr>
            <w:rPr>
              <w:sz w:val="2"/>
              <w:szCs w:val="2"/>
            </w:rPr>
          </w:pPr>
        </w:p>
      </w:tc>
      <w:tc>
        <w:tcPr>
          <w:tcW w:w="4994" w:type="dxa"/>
          <w:tcBorders>
            <w:right w:val="single" w:sz="4" w:space="0" w:color="000000"/>
          </w:tcBorders>
          <w:vAlign w:val="center"/>
        </w:tcPr>
        <w:p w14:paraId="04EBCCC0" w14:textId="1B7D4026" w:rsidR="00025935" w:rsidRPr="00CB0B84" w:rsidRDefault="00025935" w:rsidP="00025935">
          <w:pPr>
            <w:jc w:val="center"/>
            <w:rPr>
              <w:rFonts w:ascii="Calibri" w:hAnsi="Calibri" w:cs="Calibri"/>
              <w:b/>
              <w:lang w:val="es-CO"/>
            </w:rPr>
          </w:pPr>
          <w:r w:rsidRPr="00CB0B84">
            <w:rPr>
              <w:rFonts w:ascii="Calibri" w:hAnsi="Calibri" w:cs="Calibri"/>
              <w:b/>
              <w:lang w:val="es-CO"/>
            </w:rPr>
            <w:t>MACROPROCESO DE APOYO</w:t>
          </w:r>
        </w:p>
      </w:tc>
      <w:tc>
        <w:tcPr>
          <w:tcW w:w="2977" w:type="dxa"/>
          <w:tcBorders>
            <w:left w:val="single" w:sz="4" w:space="0" w:color="000000"/>
            <w:right w:val="single" w:sz="4" w:space="0" w:color="000000"/>
          </w:tcBorders>
          <w:vAlign w:val="center"/>
        </w:tcPr>
        <w:p w14:paraId="651A8DCE" w14:textId="632BB8FA" w:rsidR="00025935" w:rsidRPr="00CB0B84" w:rsidRDefault="00025935" w:rsidP="00025935">
          <w:pPr>
            <w:rPr>
              <w:rFonts w:ascii="Calibri" w:hAnsi="Calibri" w:cs="Calibri"/>
              <w:b/>
              <w:bCs/>
              <w:lang w:val="es-CO"/>
            </w:rPr>
          </w:pPr>
          <w:r w:rsidRPr="00CB0B84">
            <w:rPr>
              <w:rFonts w:ascii="Calibri" w:hAnsi="Calibri" w:cs="Calibri"/>
              <w:b/>
              <w:bCs/>
              <w:lang w:val="es-CO"/>
            </w:rPr>
            <w:t xml:space="preserve"> Fecha de vigencia: </w:t>
          </w:r>
          <w:r w:rsidR="006F1263">
            <w:rPr>
              <w:rFonts w:ascii="Calibri" w:hAnsi="Calibri" w:cs="Calibri"/>
              <w:b/>
              <w:bCs/>
              <w:lang w:val="es-CO"/>
            </w:rPr>
            <w:t>11-06-2025</w:t>
          </w:r>
        </w:p>
      </w:tc>
    </w:tr>
  </w:tbl>
  <w:p w14:paraId="052D1E45" w14:textId="77777777" w:rsidR="003D6C68" w:rsidRPr="003D6C68" w:rsidRDefault="003D6C68" w:rsidP="003D6C68">
    <w:pPr>
      <w:pStyle w:val="Encabezad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DC1304"/>
    <w:multiLevelType w:val="hybridMultilevel"/>
    <w:tmpl w:val="CD34D0F2"/>
    <w:lvl w:ilvl="0" w:tplc="6512BEF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06838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136"/>
    <w:rsid w:val="00025935"/>
    <w:rsid w:val="00045BC8"/>
    <w:rsid w:val="000506DA"/>
    <w:rsid w:val="0008184B"/>
    <w:rsid w:val="00084F0D"/>
    <w:rsid w:val="000A22D7"/>
    <w:rsid w:val="000C2C80"/>
    <w:rsid w:val="000C431C"/>
    <w:rsid w:val="000D7F56"/>
    <w:rsid w:val="00111CF3"/>
    <w:rsid w:val="001927A5"/>
    <w:rsid w:val="001D22E2"/>
    <w:rsid w:val="00204230"/>
    <w:rsid w:val="00204B59"/>
    <w:rsid w:val="002454EF"/>
    <w:rsid w:val="00250B95"/>
    <w:rsid w:val="002860A6"/>
    <w:rsid w:val="0030130E"/>
    <w:rsid w:val="0031646D"/>
    <w:rsid w:val="00367FFB"/>
    <w:rsid w:val="003C4E54"/>
    <w:rsid w:val="003D6C68"/>
    <w:rsid w:val="0040581B"/>
    <w:rsid w:val="00425A3D"/>
    <w:rsid w:val="00454876"/>
    <w:rsid w:val="004803E3"/>
    <w:rsid w:val="004C0BD4"/>
    <w:rsid w:val="004D32E7"/>
    <w:rsid w:val="004D6F8E"/>
    <w:rsid w:val="0051791F"/>
    <w:rsid w:val="0053033E"/>
    <w:rsid w:val="00561349"/>
    <w:rsid w:val="005A06A8"/>
    <w:rsid w:val="005A2D19"/>
    <w:rsid w:val="005B5A0F"/>
    <w:rsid w:val="005B6AC8"/>
    <w:rsid w:val="005E7373"/>
    <w:rsid w:val="00676D02"/>
    <w:rsid w:val="00685136"/>
    <w:rsid w:val="006C1BD2"/>
    <w:rsid w:val="006F1263"/>
    <w:rsid w:val="006F7A1A"/>
    <w:rsid w:val="00724F46"/>
    <w:rsid w:val="00733E20"/>
    <w:rsid w:val="007643EC"/>
    <w:rsid w:val="00766437"/>
    <w:rsid w:val="0077039E"/>
    <w:rsid w:val="00782C81"/>
    <w:rsid w:val="0082433E"/>
    <w:rsid w:val="00832E5F"/>
    <w:rsid w:val="00912371"/>
    <w:rsid w:val="009439FF"/>
    <w:rsid w:val="00947FD0"/>
    <w:rsid w:val="00967D8B"/>
    <w:rsid w:val="00A23EE5"/>
    <w:rsid w:val="00A63901"/>
    <w:rsid w:val="00A94186"/>
    <w:rsid w:val="00B97414"/>
    <w:rsid w:val="00C126F0"/>
    <w:rsid w:val="00C33F7B"/>
    <w:rsid w:val="00C844E3"/>
    <w:rsid w:val="00CB0B84"/>
    <w:rsid w:val="00CB7393"/>
    <w:rsid w:val="00CC2622"/>
    <w:rsid w:val="00D6696A"/>
    <w:rsid w:val="00DC5358"/>
    <w:rsid w:val="00DE191A"/>
    <w:rsid w:val="00DE3A6D"/>
    <w:rsid w:val="00E3672F"/>
    <w:rsid w:val="00EC38CD"/>
    <w:rsid w:val="00ED5292"/>
    <w:rsid w:val="00F21F06"/>
    <w:rsid w:val="00F35255"/>
    <w:rsid w:val="00F4238D"/>
    <w:rsid w:val="00F45947"/>
    <w:rsid w:val="00F46A92"/>
    <w:rsid w:val="00F833EF"/>
    <w:rsid w:val="00F912DE"/>
    <w:rsid w:val="00FF6EE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82C41"/>
  <w15:chartTrackingRefBased/>
  <w15:docId w15:val="{AEEC852D-18A8-47EF-9224-AC43C4A3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851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6851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68513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68513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68513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68513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8513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8513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8513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5136"/>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685136"/>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685136"/>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685136"/>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685136"/>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68513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8513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8513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85136"/>
    <w:rPr>
      <w:rFonts w:eastAsiaTheme="majorEastAsia" w:cstheme="majorBidi"/>
      <w:color w:val="272727" w:themeColor="text1" w:themeTint="D8"/>
    </w:rPr>
  </w:style>
  <w:style w:type="paragraph" w:styleId="Ttulo">
    <w:name w:val="Title"/>
    <w:basedOn w:val="Normal"/>
    <w:next w:val="Normal"/>
    <w:link w:val="TtuloCar"/>
    <w:uiPriority w:val="10"/>
    <w:qFormat/>
    <w:rsid w:val="006851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8513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8513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8513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85136"/>
    <w:pPr>
      <w:spacing w:before="160"/>
      <w:jc w:val="center"/>
    </w:pPr>
    <w:rPr>
      <w:i/>
      <w:iCs/>
      <w:color w:val="404040" w:themeColor="text1" w:themeTint="BF"/>
    </w:rPr>
  </w:style>
  <w:style w:type="character" w:customStyle="1" w:styleId="CitaCar">
    <w:name w:val="Cita Car"/>
    <w:basedOn w:val="Fuentedeprrafopredeter"/>
    <w:link w:val="Cita"/>
    <w:uiPriority w:val="29"/>
    <w:rsid w:val="00685136"/>
    <w:rPr>
      <w:i/>
      <w:iCs/>
      <w:color w:val="404040" w:themeColor="text1" w:themeTint="BF"/>
    </w:rPr>
  </w:style>
  <w:style w:type="paragraph" w:styleId="Prrafodelista">
    <w:name w:val="List Paragraph"/>
    <w:basedOn w:val="Normal"/>
    <w:uiPriority w:val="1"/>
    <w:qFormat/>
    <w:rsid w:val="00685136"/>
    <w:pPr>
      <w:ind w:left="720"/>
      <w:contextualSpacing/>
    </w:pPr>
  </w:style>
  <w:style w:type="character" w:styleId="nfasisintenso">
    <w:name w:val="Intense Emphasis"/>
    <w:basedOn w:val="Fuentedeprrafopredeter"/>
    <w:uiPriority w:val="21"/>
    <w:qFormat/>
    <w:rsid w:val="00685136"/>
    <w:rPr>
      <w:i/>
      <w:iCs/>
      <w:color w:val="2F5496" w:themeColor="accent1" w:themeShade="BF"/>
    </w:rPr>
  </w:style>
  <w:style w:type="paragraph" w:styleId="Citadestacada">
    <w:name w:val="Intense Quote"/>
    <w:basedOn w:val="Normal"/>
    <w:next w:val="Normal"/>
    <w:link w:val="CitadestacadaCar"/>
    <w:uiPriority w:val="30"/>
    <w:qFormat/>
    <w:rsid w:val="006851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685136"/>
    <w:rPr>
      <w:i/>
      <w:iCs/>
      <w:color w:val="2F5496" w:themeColor="accent1" w:themeShade="BF"/>
    </w:rPr>
  </w:style>
  <w:style w:type="character" w:styleId="Referenciaintensa">
    <w:name w:val="Intense Reference"/>
    <w:basedOn w:val="Fuentedeprrafopredeter"/>
    <w:uiPriority w:val="32"/>
    <w:qFormat/>
    <w:rsid w:val="00685136"/>
    <w:rPr>
      <w:b/>
      <w:bCs/>
      <w:smallCaps/>
      <w:color w:val="2F5496" w:themeColor="accent1" w:themeShade="BF"/>
      <w:spacing w:val="5"/>
    </w:rPr>
  </w:style>
  <w:style w:type="paragraph" w:styleId="Encabezado">
    <w:name w:val="header"/>
    <w:basedOn w:val="Normal"/>
    <w:link w:val="EncabezadoCar"/>
    <w:uiPriority w:val="99"/>
    <w:unhideWhenUsed/>
    <w:rsid w:val="006851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5136"/>
  </w:style>
  <w:style w:type="paragraph" w:styleId="Piedepgina">
    <w:name w:val="footer"/>
    <w:basedOn w:val="Normal"/>
    <w:link w:val="PiedepginaCar"/>
    <w:uiPriority w:val="99"/>
    <w:unhideWhenUsed/>
    <w:rsid w:val="006851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5136"/>
  </w:style>
  <w:style w:type="table" w:customStyle="1" w:styleId="TableNormal">
    <w:name w:val="Table Normal"/>
    <w:uiPriority w:val="2"/>
    <w:semiHidden/>
    <w:unhideWhenUsed/>
    <w:qFormat/>
    <w:rsid w:val="003013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130E"/>
    <w:pPr>
      <w:widowControl w:val="0"/>
      <w:autoSpaceDE w:val="0"/>
      <w:autoSpaceDN w:val="0"/>
      <w:spacing w:after="0" w:line="240" w:lineRule="auto"/>
    </w:pPr>
    <w:rPr>
      <w:rFonts w:ascii="Calibri" w:eastAsia="Calibri" w:hAnsi="Calibri" w:cs="Calibri"/>
      <w:lang w:val="es-ES"/>
    </w:rPr>
  </w:style>
  <w:style w:type="table" w:styleId="Tablaconcuadrcula">
    <w:name w:val="Table Grid"/>
    <w:basedOn w:val="Tablanormal"/>
    <w:uiPriority w:val="39"/>
    <w:rsid w:val="006C1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0A22D7"/>
  </w:style>
  <w:style w:type="paragraph" w:customStyle="1" w:styleId="paragraph">
    <w:name w:val="paragraph"/>
    <w:basedOn w:val="Normal"/>
    <w:rsid w:val="000A22D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0A22D7"/>
  </w:style>
  <w:style w:type="character" w:styleId="Refdecomentario">
    <w:name w:val="annotation reference"/>
    <w:basedOn w:val="Fuentedeprrafopredeter"/>
    <w:uiPriority w:val="99"/>
    <w:semiHidden/>
    <w:unhideWhenUsed/>
    <w:rsid w:val="00C844E3"/>
    <w:rPr>
      <w:sz w:val="16"/>
      <w:szCs w:val="16"/>
    </w:rPr>
  </w:style>
  <w:style w:type="paragraph" w:styleId="Textocomentario">
    <w:name w:val="annotation text"/>
    <w:basedOn w:val="Normal"/>
    <w:link w:val="TextocomentarioCar"/>
    <w:uiPriority w:val="99"/>
    <w:semiHidden/>
    <w:unhideWhenUsed/>
    <w:rsid w:val="00C844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44E3"/>
    <w:rPr>
      <w:sz w:val="20"/>
      <w:szCs w:val="20"/>
    </w:rPr>
  </w:style>
  <w:style w:type="paragraph" w:styleId="Asuntodelcomentario">
    <w:name w:val="annotation subject"/>
    <w:basedOn w:val="Textocomentario"/>
    <w:next w:val="Textocomentario"/>
    <w:link w:val="AsuntodelcomentarioCar"/>
    <w:uiPriority w:val="99"/>
    <w:semiHidden/>
    <w:unhideWhenUsed/>
    <w:rsid w:val="00C844E3"/>
    <w:rPr>
      <w:b/>
      <w:bCs/>
    </w:rPr>
  </w:style>
  <w:style w:type="character" w:customStyle="1" w:styleId="AsuntodelcomentarioCar">
    <w:name w:val="Asunto del comentario Car"/>
    <w:basedOn w:val="TextocomentarioCar"/>
    <w:link w:val="Asuntodelcomentario"/>
    <w:uiPriority w:val="99"/>
    <w:semiHidden/>
    <w:rsid w:val="00C844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file>

<file path=customXml/itemProps1.xml><?xml version="1.0" encoding="utf-8"?>
<ds:datastoreItem xmlns:ds="http://schemas.openxmlformats.org/officeDocument/2006/customXml" ds:itemID="{700CD460-747B-4DB2-8898-4E48F5E4F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798</Words>
  <Characters>4394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Esneyder Andrés Pallares Becerra</dc:creator>
  <cp:keywords/>
  <dc:description/>
  <cp:lastModifiedBy>Oficina Sig</cp:lastModifiedBy>
  <cp:revision>14</cp:revision>
  <dcterms:created xsi:type="dcterms:W3CDTF">2025-04-07T21:29:00Z</dcterms:created>
  <dcterms:modified xsi:type="dcterms:W3CDTF">2025-06-11T13:42:00Z</dcterms:modified>
</cp:coreProperties>
</file>